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32"/>
          <w:szCs w:val="32"/>
        </w:rPr>
      </w:pPr>
      <w:r>
        <w:rPr>
          <w:rFonts w:hint="eastAsia"/>
          <w:b/>
          <w:sz w:val="32"/>
          <w:szCs w:val="32"/>
        </w:rPr>
        <w:t>关于报名参加2016年秋季澳大利亚蒙纳士大学项目的通知</w:t>
      </w:r>
    </w:p>
    <w:p>
      <w:pPr>
        <w:ind w:right="-27" w:rightChars="-13"/>
        <w:jc w:val="left"/>
        <w:rPr>
          <w:rFonts w:ascii="宋体"/>
          <w:b/>
          <w:color w:val="FF0000"/>
          <w:sz w:val="28"/>
          <w:szCs w:val="28"/>
        </w:rPr>
      </w:pPr>
      <w:r>
        <w:rPr>
          <w:rFonts w:hint="eastAsia" w:ascii="宋体" w:hAnsi="宋体"/>
          <w:b/>
          <w:color w:val="FF0000"/>
          <w:sz w:val="28"/>
          <w:szCs w:val="28"/>
        </w:rPr>
        <w:t>学校介绍</w:t>
      </w:r>
      <w:r>
        <w:rPr>
          <w:rFonts w:ascii="宋体" w:hAnsi="宋体"/>
          <w:b/>
          <w:color w:val="FF0000"/>
          <w:sz w:val="28"/>
          <w:szCs w:val="28"/>
        </w:rPr>
        <w:t>:</w:t>
      </w:r>
    </w:p>
    <w:p>
      <w:pPr>
        <w:rPr>
          <w:rFonts w:ascii="宋体"/>
          <w:szCs w:val="21"/>
        </w:rPr>
      </w:pPr>
      <w:r>
        <w:rPr>
          <w:rFonts w:hint="eastAsia" w:ascii="宋体" w:hAnsi="宋体"/>
          <w:szCs w:val="21"/>
        </w:rPr>
        <w:t>蒙纳士大学</w:t>
      </w:r>
      <w:r>
        <w:rPr>
          <w:rFonts w:ascii="宋体" w:hAnsi="宋体"/>
          <w:szCs w:val="21"/>
        </w:rPr>
        <w:t>(Monash University)</w:t>
      </w:r>
      <w:r>
        <w:rPr>
          <w:rFonts w:hint="eastAsia" w:ascii="宋体" w:hAnsi="宋体"/>
          <w:szCs w:val="21"/>
        </w:rPr>
        <w:t>是一所充满活力的国际著名大学，具有悠久的优秀教育传统。蒙纳士大学有</w:t>
      </w:r>
      <w:r>
        <w:rPr>
          <w:rFonts w:hint="eastAsia" w:ascii="宋体" w:hAnsi="宋体"/>
          <w:szCs w:val="21"/>
          <w:lang w:val="en-US" w:eastAsia="zh-CN"/>
        </w:rPr>
        <w:t>10</w:t>
      </w:r>
      <w:bookmarkStart w:id="0" w:name="_GoBack"/>
      <w:bookmarkEnd w:id="0"/>
      <w:r>
        <w:rPr>
          <w:rFonts w:hint="eastAsia" w:ascii="宋体" w:hAnsi="宋体"/>
          <w:szCs w:val="21"/>
        </w:rPr>
        <w:t>个校区，其中包括马来西亚和南非分校区，以及意大利普拉托教学中心。蒙纳士大学以创新性教学和科研而闻名，毕业生倍受澳大利亚及海外雇主的青睐。蒙纳士大学是世界最优秀的大学之一，研究密集型和国际焦点型教学科研是学校出类拔萃、从容应对重要理论和实践挑战的坚实基础。拥有澳洲最具文化多元性的学生群体以及充满活力的在校学习环境。拥有澳州大学规模最大的国际学习项目之一，学校鼓励学生在蒙纳士大学的不同校区或到另一所著名大学学习，从而获得就业优势。其工程类专业均排名全球前50位。</w:t>
      </w:r>
    </w:p>
    <w:p>
      <w:pPr>
        <w:ind w:right="-27" w:rightChars="-13"/>
        <w:jc w:val="left"/>
        <w:rPr>
          <w:rFonts w:ascii="宋体"/>
          <w:b/>
          <w:color w:val="FF0000"/>
          <w:sz w:val="28"/>
          <w:szCs w:val="28"/>
        </w:rPr>
      </w:pPr>
      <w:r>
        <w:rPr>
          <w:rFonts w:hint="eastAsia" w:ascii="宋体" w:hAnsi="宋体"/>
          <w:b/>
          <w:color w:val="FF0000"/>
          <w:sz w:val="28"/>
          <w:szCs w:val="28"/>
        </w:rPr>
        <w:t>项目介绍：</w:t>
      </w:r>
    </w:p>
    <w:p>
      <w:pPr>
        <w:rPr>
          <w:rFonts w:ascii="宋体"/>
          <w:szCs w:val="21"/>
        </w:rPr>
      </w:pPr>
      <w:r>
        <w:rPr>
          <w:rFonts w:hint="eastAsia" w:ascii="宋体" w:hAnsi="宋体"/>
          <w:szCs w:val="21"/>
        </w:rPr>
        <w:t>继我校与澳大利亚蒙纳士大学（</w:t>
      </w:r>
      <w:r>
        <w:rPr>
          <w:rFonts w:ascii="宋体" w:hAnsi="宋体"/>
          <w:szCs w:val="21"/>
        </w:rPr>
        <w:t>Monash University</w:t>
      </w:r>
      <w:r>
        <w:rPr>
          <w:rFonts w:hint="eastAsia" w:ascii="宋体" w:hAnsi="宋体"/>
          <w:szCs w:val="21"/>
        </w:rPr>
        <w:t>）在本科</w:t>
      </w:r>
      <w:r>
        <w:rPr>
          <w:rFonts w:ascii="宋体" w:hAnsi="宋体"/>
          <w:szCs w:val="21"/>
        </w:rPr>
        <w:t>2+2</w:t>
      </w:r>
      <w:r>
        <w:rPr>
          <w:rFonts w:hint="eastAsia" w:ascii="宋体" w:hAnsi="宋体"/>
          <w:szCs w:val="21"/>
        </w:rPr>
        <w:t>“中澳国际班</w:t>
      </w:r>
      <w:r>
        <w:rPr>
          <w:rFonts w:hint="eastAsia" w:ascii="宋体"/>
          <w:szCs w:val="21"/>
        </w:rPr>
        <w:t>”</w:t>
      </w:r>
      <w:r>
        <w:rPr>
          <w:rFonts w:hint="eastAsia" w:ascii="宋体" w:hAnsi="宋体"/>
          <w:szCs w:val="21"/>
        </w:rPr>
        <w:t>成功合作的基础上，从</w:t>
      </w:r>
      <w:r>
        <w:rPr>
          <w:rFonts w:ascii="宋体" w:hAnsi="宋体"/>
          <w:szCs w:val="21"/>
        </w:rPr>
        <w:t>2009</w:t>
      </w:r>
      <w:r>
        <w:rPr>
          <w:rFonts w:hint="eastAsia" w:ascii="宋体" w:hAnsi="宋体"/>
          <w:szCs w:val="21"/>
        </w:rPr>
        <w:t>年</w:t>
      </w:r>
      <w:r>
        <w:rPr>
          <w:rFonts w:ascii="宋体" w:hAnsi="宋体"/>
          <w:szCs w:val="21"/>
        </w:rPr>
        <w:t>9</w:t>
      </w:r>
      <w:r>
        <w:rPr>
          <w:rFonts w:hint="eastAsia" w:ascii="宋体" w:hAnsi="宋体"/>
          <w:szCs w:val="21"/>
        </w:rPr>
        <w:t>月开始，双方同意为非中澳国际班部分专业的学生提供赴蒙纳士大学学习的机会。具体项目如下</w:t>
      </w:r>
      <w:r>
        <w:rPr>
          <w:rFonts w:ascii="宋体" w:hAnsi="宋体"/>
          <w:szCs w:val="21"/>
        </w:rPr>
        <w:t>:</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637"/>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5" w:type="dxa"/>
          </w:tcPr>
          <w:p>
            <w:pPr>
              <w:jc w:val="center"/>
              <w:rPr>
                <w:b/>
              </w:rPr>
            </w:pPr>
            <w:r>
              <w:rPr>
                <w:rFonts w:hint="eastAsia"/>
                <w:b/>
              </w:rPr>
              <w:t>项目类型</w:t>
            </w:r>
          </w:p>
        </w:tc>
        <w:tc>
          <w:tcPr>
            <w:tcW w:w="2637" w:type="dxa"/>
          </w:tcPr>
          <w:p>
            <w:pPr>
              <w:jc w:val="center"/>
              <w:rPr>
                <w:b/>
              </w:rPr>
            </w:pPr>
            <w:r>
              <w:rPr>
                <w:rFonts w:hint="eastAsia"/>
                <w:b/>
              </w:rPr>
              <w:t>专业方向</w:t>
            </w:r>
          </w:p>
        </w:tc>
        <w:tc>
          <w:tcPr>
            <w:tcW w:w="2800" w:type="dxa"/>
          </w:tcPr>
          <w:p>
            <w:pPr>
              <w:jc w:val="center"/>
              <w:rPr>
                <w:b/>
              </w:rPr>
            </w:pPr>
            <w:r>
              <w:rPr>
                <w:rFonts w:hint="eastAsia"/>
                <w:b/>
              </w:rPr>
              <w:t>申请要求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5" w:type="dxa"/>
          </w:tcPr>
          <w:p>
            <w:pPr>
              <w:jc w:val="center"/>
              <w:rPr>
                <w:b/>
                <w:color w:val="333333"/>
                <w:szCs w:val="21"/>
              </w:rPr>
            </w:pPr>
            <w:r>
              <w:rPr>
                <w:b/>
                <w:color w:val="333333"/>
                <w:szCs w:val="21"/>
              </w:rPr>
              <w:t>2+2</w:t>
            </w:r>
            <w:r>
              <w:rPr>
                <w:rFonts w:hint="eastAsia"/>
                <w:b/>
                <w:color w:val="333333"/>
                <w:szCs w:val="21"/>
              </w:rPr>
              <w:t>双学位项目</w:t>
            </w:r>
          </w:p>
          <w:p>
            <w:pPr>
              <w:jc w:val="center"/>
              <w:rPr>
                <w:b/>
                <w:color w:val="333333"/>
                <w:szCs w:val="21"/>
              </w:rPr>
            </w:pPr>
            <w:r>
              <w:rPr>
                <w:rFonts w:hint="eastAsia"/>
                <w:b/>
                <w:color w:val="333333"/>
                <w:szCs w:val="21"/>
              </w:rPr>
              <w:t>适合大二学生申请</w:t>
            </w:r>
          </w:p>
        </w:tc>
        <w:tc>
          <w:tcPr>
            <w:tcW w:w="2637" w:type="dxa"/>
          </w:tcPr>
          <w:p>
            <w:pPr>
              <w:rPr>
                <w:rFonts w:ascii="宋体"/>
                <w:szCs w:val="21"/>
              </w:rPr>
            </w:pPr>
            <w:r>
              <w:rPr>
                <w:rFonts w:hint="eastAsia" w:ascii="宋体" w:hAnsi="宋体" w:cs="宋体"/>
                <w:kern w:val="0"/>
                <w:szCs w:val="21"/>
              </w:rPr>
              <w:t>机电工程、化学工程、交通运输、电气工程、自动化、计算机、软件工程、采矿工程、商科</w:t>
            </w:r>
          </w:p>
        </w:tc>
        <w:tc>
          <w:tcPr>
            <w:tcW w:w="2800" w:type="dxa"/>
          </w:tcPr>
          <w:p>
            <w:pPr>
              <w:rPr>
                <w:color w:val="333333"/>
                <w:szCs w:val="21"/>
              </w:rPr>
            </w:pPr>
            <w:r>
              <w:rPr>
                <w:rFonts w:hint="eastAsia"/>
                <w:color w:val="333333"/>
                <w:szCs w:val="21"/>
              </w:rPr>
              <w:t>在校平均分</w:t>
            </w:r>
            <w:r>
              <w:rPr>
                <w:color w:val="333333"/>
                <w:szCs w:val="21"/>
              </w:rPr>
              <w:t>70</w:t>
            </w:r>
            <w:r>
              <w:rPr>
                <w:rFonts w:hint="eastAsia"/>
                <w:color w:val="333333"/>
                <w:szCs w:val="21"/>
              </w:rPr>
              <w:t>分以上</w:t>
            </w:r>
            <w:r>
              <w:rPr>
                <w:color w:val="333333"/>
                <w:szCs w:val="21"/>
              </w:rPr>
              <w:t>;</w:t>
            </w:r>
            <w:r>
              <w:rPr>
                <w:rFonts w:hint="eastAsia"/>
                <w:color w:val="333333"/>
                <w:szCs w:val="21"/>
              </w:rPr>
              <w:t>雅思达到学校的要求</w:t>
            </w:r>
            <w:r>
              <w:rPr>
                <w:color w:val="333333"/>
                <w:szCs w:val="21"/>
              </w:rPr>
              <w:t>(</w:t>
            </w:r>
            <w:r>
              <w:rPr>
                <w:rFonts w:hint="eastAsia"/>
                <w:color w:val="333333"/>
                <w:szCs w:val="21"/>
              </w:rPr>
              <w:t>总分要求</w:t>
            </w:r>
            <w:r>
              <w:rPr>
                <w:color w:val="333333"/>
                <w:szCs w:val="21"/>
              </w:rPr>
              <w:t>6.5</w:t>
            </w:r>
            <w:r>
              <w:rPr>
                <w:rFonts w:hint="eastAsia"/>
                <w:color w:val="333333"/>
                <w:szCs w:val="21"/>
              </w:rPr>
              <w:t>分，单科不低于</w:t>
            </w:r>
            <w:r>
              <w:rPr>
                <w:color w:val="333333"/>
                <w:szCs w:val="21"/>
              </w:rPr>
              <w:t>6</w:t>
            </w:r>
            <w:r>
              <w:rPr>
                <w:rFonts w:hint="eastAsia"/>
                <w:color w:val="333333"/>
                <w:szCs w:val="21"/>
              </w:rPr>
              <w:t>分</w:t>
            </w:r>
            <w:r>
              <w:rPr>
                <w:color w:val="333333"/>
                <w:szCs w:val="21"/>
              </w:rPr>
              <w:t>)</w:t>
            </w:r>
            <w:r>
              <w:rPr>
                <w:rFonts w:hint="eastAsia"/>
                <w:color w:val="333333"/>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5" w:type="dxa"/>
          </w:tcPr>
          <w:p>
            <w:pPr>
              <w:jc w:val="center"/>
              <w:rPr>
                <w:b/>
                <w:color w:val="333333"/>
                <w:szCs w:val="21"/>
              </w:rPr>
            </w:pPr>
            <w:r>
              <w:rPr>
                <w:b/>
                <w:color w:val="333333"/>
                <w:szCs w:val="21"/>
              </w:rPr>
              <w:t>3+1+1</w:t>
            </w:r>
            <w:r>
              <w:rPr>
                <w:rFonts w:hint="eastAsia"/>
                <w:b/>
                <w:color w:val="333333"/>
                <w:szCs w:val="21"/>
              </w:rPr>
              <w:t>本硕连读项目</w:t>
            </w:r>
          </w:p>
          <w:p>
            <w:pPr>
              <w:jc w:val="center"/>
              <w:rPr>
                <w:b/>
                <w:color w:val="333333"/>
                <w:szCs w:val="21"/>
              </w:rPr>
            </w:pPr>
            <w:r>
              <w:rPr>
                <w:rFonts w:hint="eastAsia"/>
                <w:b/>
                <w:color w:val="333333"/>
                <w:szCs w:val="21"/>
              </w:rPr>
              <w:t>适合大三学生申请</w:t>
            </w:r>
          </w:p>
        </w:tc>
        <w:tc>
          <w:tcPr>
            <w:tcW w:w="2637" w:type="dxa"/>
          </w:tcPr>
          <w:p>
            <w:pPr>
              <w:rPr>
                <w:color w:val="333333"/>
                <w:szCs w:val="21"/>
              </w:rPr>
            </w:pPr>
            <w:r>
              <w:rPr>
                <w:rFonts w:hint="eastAsia"/>
                <w:color w:val="333333"/>
                <w:szCs w:val="21"/>
              </w:rPr>
              <w:t>材料、机电工程、化学工程、交通运输、电气自动化、计算机</w:t>
            </w:r>
          </w:p>
        </w:tc>
        <w:tc>
          <w:tcPr>
            <w:tcW w:w="2800" w:type="dxa"/>
          </w:tcPr>
          <w:p>
            <w:pPr>
              <w:rPr>
                <w:color w:val="333333"/>
                <w:szCs w:val="21"/>
              </w:rPr>
            </w:pPr>
            <w:r>
              <w:rPr>
                <w:rFonts w:hint="eastAsia"/>
                <w:color w:val="333333"/>
                <w:szCs w:val="21"/>
              </w:rPr>
              <w:t>在校平均分</w:t>
            </w:r>
            <w:r>
              <w:rPr>
                <w:color w:val="333333"/>
                <w:szCs w:val="21"/>
              </w:rPr>
              <w:t>75</w:t>
            </w:r>
            <w:r>
              <w:rPr>
                <w:rFonts w:hint="eastAsia"/>
                <w:color w:val="333333"/>
                <w:szCs w:val="21"/>
              </w:rPr>
              <w:t>分以上</w:t>
            </w:r>
            <w:r>
              <w:rPr>
                <w:color w:val="333333"/>
                <w:szCs w:val="21"/>
              </w:rPr>
              <w:t>;</w:t>
            </w:r>
            <w:r>
              <w:rPr>
                <w:rFonts w:hint="eastAsia"/>
                <w:color w:val="333333"/>
                <w:szCs w:val="21"/>
              </w:rPr>
              <w:t>雅思达到学校的要求</w:t>
            </w:r>
            <w:r>
              <w:rPr>
                <w:color w:val="333333"/>
                <w:szCs w:val="21"/>
              </w:rPr>
              <w:t>(</w:t>
            </w:r>
            <w:r>
              <w:rPr>
                <w:rFonts w:hint="eastAsia"/>
                <w:color w:val="333333"/>
                <w:szCs w:val="21"/>
              </w:rPr>
              <w:t>总分要求</w:t>
            </w:r>
            <w:r>
              <w:rPr>
                <w:color w:val="333333"/>
                <w:szCs w:val="21"/>
              </w:rPr>
              <w:t>6.5</w:t>
            </w:r>
            <w:r>
              <w:rPr>
                <w:rFonts w:hint="eastAsia"/>
                <w:color w:val="333333"/>
                <w:szCs w:val="21"/>
              </w:rPr>
              <w:t>分，单科不低于</w:t>
            </w:r>
            <w:r>
              <w:rPr>
                <w:color w:val="333333"/>
                <w:szCs w:val="21"/>
              </w:rPr>
              <w:t>6</w:t>
            </w:r>
            <w:r>
              <w:rPr>
                <w:rFonts w:hint="eastAsia"/>
                <w:color w:val="333333"/>
                <w:szCs w:val="21"/>
              </w:rPr>
              <w:t>分</w:t>
            </w:r>
            <w:r>
              <w:rPr>
                <w:color w:val="333333"/>
                <w:szCs w:val="21"/>
              </w:rPr>
              <w:t>)</w:t>
            </w:r>
            <w:r>
              <w:rPr>
                <w:rFonts w:hint="eastAsia"/>
                <w:color w:val="333333"/>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5" w:type="dxa"/>
          </w:tcPr>
          <w:p>
            <w:pPr>
              <w:jc w:val="center"/>
              <w:rPr>
                <w:b/>
                <w:color w:val="333333"/>
                <w:szCs w:val="21"/>
              </w:rPr>
            </w:pPr>
            <w:r>
              <w:rPr>
                <w:b/>
                <w:color w:val="333333"/>
                <w:szCs w:val="21"/>
              </w:rPr>
              <w:t>4+1</w:t>
            </w:r>
            <w:r>
              <w:rPr>
                <w:rFonts w:hint="eastAsia"/>
                <w:b/>
                <w:color w:val="333333"/>
                <w:szCs w:val="21"/>
              </w:rPr>
              <w:t>硕士项目</w:t>
            </w:r>
          </w:p>
          <w:p>
            <w:pPr>
              <w:jc w:val="center"/>
              <w:rPr>
                <w:b/>
                <w:color w:val="333333"/>
                <w:szCs w:val="21"/>
              </w:rPr>
            </w:pPr>
            <w:r>
              <w:rPr>
                <w:rFonts w:hint="eastAsia"/>
                <w:b/>
                <w:color w:val="333333"/>
                <w:szCs w:val="21"/>
              </w:rPr>
              <w:t>适合大四学生申请</w:t>
            </w:r>
          </w:p>
        </w:tc>
        <w:tc>
          <w:tcPr>
            <w:tcW w:w="2637" w:type="dxa"/>
          </w:tcPr>
          <w:p>
            <w:pPr>
              <w:rPr>
                <w:color w:val="333333"/>
                <w:szCs w:val="21"/>
              </w:rPr>
            </w:pPr>
            <w:r>
              <w:rPr>
                <w:rFonts w:hint="eastAsia"/>
                <w:color w:val="333333"/>
                <w:szCs w:val="21"/>
              </w:rPr>
              <w:t>材料、机电工程、化学工程、交通运输、电气自动化、计算机</w:t>
            </w:r>
          </w:p>
        </w:tc>
        <w:tc>
          <w:tcPr>
            <w:tcW w:w="2800" w:type="dxa"/>
          </w:tcPr>
          <w:p>
            <w:pPr>
              <w:rPr>
                <w:color w:val="333333"/>
                <w:szCs w:val="21"/>
              </w:rPr>
            </w:pPr>
            <w:r>
              <w:rPr>
                <w:rFonts w:hint="eastAsia"/>
                <w:color w:val="333333"/>
                <w:szCs w:val="21"/>
              </w:rPr>
              <w:t>在校平均分</w:t>
            </w:r>
            <w:r>
              <w:rPr>
                <w:color w:val="333333"/>
                <w:szCs w:val="21"/>
              </w:rPr>
              <w:t>75</w:t>
            </w:r>
            <w:r>
              <w:rPr>
                <w:rFonts w:hint="eastAsia"/>
                <w:color w:val="333333"/>
                <w:szCs w:val="21"/>
              </w:rPr>
              <w:t>分以上</w:t>
            </w:r>
            <w:r>
              <w:rPr>
                <w:color w:val="333333"/>
                <w:szCs w:val="21"/>
              </w:rPr>
              <w:t>;</w:t>
            </w:r>
            <w:r>
              <w:rPr>
                <w:rFonts w:hint="eastAsia"/>
                <w:color w:val="333333"/>
                <w:szCs w:val="21"/>
              </w:rPr>
              <w:t>雅思达到学校的要求</w:t>
            </w:r>
            <w:r>
              <w:rPr>
                <w:color w:val="333333"/>
                <w:szCs w:val="21"/>
              </w:rPr>
              <w:t>(</w:t>
            </w:r>
            <w:r>
              <w:rPr>
                <w:rFonts w:hint="eastAsia"/>
                <w:color w:val="333333"/>
                <w:szCs w:val="21"/>
              </w:rPr>
              <w:t>总分要求</w:t>
            </w:r>
            <w:r>
              <w:rPr>
                <w:color w:val="333333"/>
                <w:szCs w:val="21"/>
              </w:rPr>
              <w:t>6.5</w:t>
            </w:r>
            <w:r>
              <w:rPr>
                <w:rFonts w:hint="eastAsia"/>
                <w:color w:val="333333"/>
                <w:szCs w:val="21"/>
              </w:rPr>
              <w:t>分，单科不低于</w:t>
            </w:r>
            <w:r>
              <w:rPr>
                <w:color w:val="333333"/>
                <w:szCs w:val="21"/>
              </w:rPr>
              <w:t>6</w:t>
            </w:r>
            <w:r>
              <w:rPr>
                <w:rFonts w:hint="eastAsia"/>
                <w:color w:val="333333"/>
                <w:szCs w:val="21"/>
              </w:rPr>
              <w:t>分</w:t>
            </w:r>
            <w:r>
              <w:rPr>
                <w:color w:val="333333"/>
                <w:szCs w:val="21"/>
              </w:rPr>
              <w:t>)</w:t>
            </w:r>
            <w:r>
              <w:rPr>
                <w:rFonts w:hint="eastAsia"/>
                <w:color w:val="333333"/>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5" w:type="dxa"/>
          </w:tcPr>
          <w:p>
            <w:pPr>
              <w:jc w:val="center"/>
              <w:rPr>
                <w:b/>
                <w:color w:val="333333"/>
                <w:szCs w:val="21"/>
              </w:rPr>
            </w:pPr>
            <w:r>
              <w:rPr>
                <w:b/>
                <w:color w:val="333333"/>
                <w:szCs w:val="21"/>
              </w:rPr>
              <w:t>4+2</w:t>
            </w:r>
            <w:r>
              <w:rPr>
                <w:rFonts w:hint="eastAsia"/>
                <w:b/>
                <w:color w:val="333333"/>
                <w:szCs w:val="21"/>
              </w:rPr>
              <w:t>双硕士项目</w:t>
            </w:r>
          </w:p>
          <w:p>
            <w:pPr>
              <w:jc w:val="center"/>
              <w:rPr>
                <w:b/>
                <w:color w:val="333333"/>
                <w:szCs w:val="21"/>
              </w:rPr>
            </w:pPr>
            <w:r>
              <w:rPr>
                <w:rFonts w:hint="eastAsia"/>
                <w:b/>
                <w:color w:val="333333"/>
                <w:szCs w:val="21"/>
              </w:rPr>
              <w:t>适合大四学生申请</w:t>
            </w:r>
          </w:p>
          <w:p>
            <w:pPr>
              <w:jc w:val="center"/>
              <w:rPr>
                <w:b/>
                <w:color w:val="333333"/>
                <w:szCs w:val="21"/>
              </w:rPr>
            </w:pPr>
            <w:r>
              <w:rPr>
                <w:b/>
                <w:color w:val="333333"/>
                <w:szCs w:val="21"/>
              </w:rPr>
              <w:t>Master of Advanced Engineering+ Master of Business</w:t>
            </w:r>
          </w:p>
        </w:tc>
        <w:tc>
          <w:tcPr>
            <w:tcW w:w="2637" w:type="dxa"/>
          </w:tcPr>
          <w:p>
            <w:pPr>
              <w:spacing w:before="100" w:beforeAutospacing="1" w:after="100" w:afterAutospacing="1"/>
              <w:rPr>
                <w:color w:val="333333"/>
                <w:szCs w:val="21"/>
              </w:rPr>
            </w:pPr>
            <w:r>
              <w:rPr>
                <w:rFonts w:hint="eastAsia"/>
                <w:color w:val="333333"/>
                <w:szCs w:val="21"/>
              </w:rPr>
              <w:t>材料、机电工程、化学工程、交通运输、电气自动化、计算机</w:t>
            </w:r>
          </w:p>
        </w:tc>
        <w:tc>
          <w:tcPr>
            <w:tcW w:w="2800" w:type="dxa"/>
          </w:tcPr>
          <w:p>
            <w:pPr>
              <w:spacing w:before="100" w:beforeAutospacing="1" w:after="100" w:afterAutospacing="1"/>
              <w:rPr>
                <w:color w:val="333333"/>
                <w:szCs w:val="21"/>
              </w:rPr>
            </w:pPr>
            <w:r>
              <w:rPr>
                <w:rFonts w:hint="eastAsia"/>
                <w:color w:val="333333"/>
                <w:szCs w:val="21"/>
              </w:rPr>
              <w:t>在校平均分</w:t>
            </w:r>
            <w:r>
              <w:rPr>
                <w:color w:val="333333"/>
                <w:szCs w:val="21"/>
              </w:rPr>
              <w:t>75</w:t>
            </w:r>
            <w:r>
              <w:rPr>
                <w:rFonts w:hint="eastAsia"/>
                <w:color w:val="333333"/>
                <w:szCs w:val="21"/>
              </w:rPr>
              <w:t>分以上</w:t>
            </w:r>
            <w:r>
              <w:rPr>
                <w:color w:val="333333"/>
                <w:szCs w:val="21"/>
              </w:rPr>
              <w:t>;</w:t>
            </w:r>
            <w:r>
              <w:rPr>
                <w:rFonts w:hint="eastAsia"/>
                <w:color w:val="333333"/>
                <w:szCs w:val="21"/>
              </w:rPr>
              <w:t>雅思达到学校的要求</w:t>
            </w:r>
            <w:r>
              <w:rPr>
                <w:color w:val="333333"/>
                <w:szCs w:val="21"/>
              </w:rPr>
              <w:t>(</w:t>
            </w:r>
            <w:r>
              <w:rPr>
                <w:rFonts w:hint="eastAsia"/>
                <w:color w:val="333333"/>
                <w:szCs w:val="21"/>
              </w:rPr>
              <w:t>总分要求</w:t>
            </w:r>
            <w:r>
              <w:rPr>
                <w:color w:val="333333"/>
                <w:szCs w:val="21"/>
              </w:rPr>
              <w:t>6.5</w:t>
            </w:r>
            <w:r>
              <w:rPr>
                <w:rFonts w:hint="eastAsia"/>
                <w:color w:val="333333"/>
                <w:szCs w:val="21"/>
              </w:rPr>
              <w:t>分，单科不低于</w:t>
            </w:r>
            <w:r>
              <w:rPr>
                <w:color w:val="333333"/>
                <w:szCs w:val="21"/>
              </w:rPr>
              <w:t>6</w:t>
            </w:r>
            <w:r>
              <w:rPr>
                <w:rFonts w:hint="eastAsia"/>
                <w:color w:val="333333"/>
                <w:szCs w:val="21"/>
              </w:rPr>
              <w:t>分</w:t>
            </w:r>
            <w:r>
              <w:rPr>
                <w:color w:val="333333"/>
                <w:szCs w:val="21"/>
              </w:rPr>
              <w:t>)</w:t>
            </w:r>
            <w:r>
              <w:rPr>
                <w:rFonts w:hint="eastAsia"/>
                <w:color w:val="333333"/>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5" w:type="dxa"/>
          </w:tcPr>
          <w:p>
            <w:pPr>
              <w:jc w:val="center"/>
              <w:rPr>
                <w:rFonts w:ascii="宋体" w:hAnsi="宋体"/>
                <w:b/>
                <w:color w:val="333333"/>
                <w:sz w:val="30"/>
                <w:szCs w:val="21"/>
              </w:rPr>
            </w:pPr>
            <w:r>
              <w:rPr>
                <w:b/>
                <w:color w:val="333333"/>
                <w:szCs w:val="21"/>
              </w:rPr>
              <w:t>1+1+1</w:t>
            </w:r>
            <w:r>
              <w:rPr>
                <w:rFonts w:hint="eastAsia"/>
                <w:b/>
                <w:color w:val="333333"/>
                <w:szCs w:val="21"/>
              </w:rPr>
              <w:t>双硕士项目</w:t>
            </w:r>
          </w:p>
          <w:p>
            <w:pPr>
              <w:jc w:val="center"/>
              <w:rPr>
                <w:b/>
                <w:color w:val="333333"/>
                <w:szCs w:val="21"/>
              </w:rPr>
            </w:pPr>
            <w:r>
              <w:rPr>
                <w:rFonts w:hint="eastAsia"/>
                <w:b/>
                <w:color w:val="333333"/>
                <w:szCs w:val="21"/>
              </w:rPr>
              <w:t>适合</w:t>
            </w:r>
            <w:r>
              <w:rPr>
                <w:b/>
                <w:color w:val="333333"/>
                <w:szCs w:val="21"/>
              </w:rPr>
              <w:t>1-2</w:t>
            </w:r>
            <w:r>
              <w:rPr>
                <w:rFonts w:hint="eastAsia"/>
                <w:b/>
                <w:color w:val="333333"/>
                <w:szCs w:val="21"/>
              </w:rPr>
              <w:t>年级硕士研究生申请</w:t>
            </w:r>
          </w:p>
        </w:tc>
        <w:tc>
          <w:tcPr>
            <w:tcW w:w="2637" w:type="dxa"/>
          </w:tcPr>
          <w:p>
            <w:pPr>
              <w:rPr>
                <w:color w:val="333333"/>
                <w:szCs w:val="21"/>
              </w:rPr>
            </w:pPr>
            <w:r>
              <w:rPr>
                <w:rFonts w:hint="eastAsia"/>
                <w:color w:val="333333"/>
                <w:szCs w:val="21"/>
              </w:rPr>
              <w:t>材料、机电工程、化学工程、交通运输、电气自动化、计算机</w:t>
            </w:r>
          </w:p>
        </w:tc>
        <w:tc>
          <w:tcPr>
            <w:tcW w:w="2800" w:type="dxa"/>
          </w:tcPr>
          <w:p>
            <w:pPr>
              <w:rPr>
                <w:color w:val="333333"/>
                <w:szCs w:val="21"/>
              </w:rPr>
            </w:pPr>
            <w:r>
              <w:rPr>
                <w:rFonts w:hint="eastAsia"/>
                <w:color w:val="333333"/>
                <w:szCs w:val="21"/>
              </w:rPr>
              <w:t>在校平均分</w:t>
            </w:r>
            <w:r>
              <w:rPr>
                <w:color w:val="333333"/>
                <w:szCs w:val="21"/>
              </w:rPr>
              <w:t>75</w:t>
            </w:r>
            <w:r>
              <w:rPr>
                <w:rFonts w:hint="eastAsia"/>
                <w:color w:val="333333"/>
                <w:szCs w:val="21"/>
              </w:rPr>
              <w:t>分以上</w:t>
            </w:r>
            <w:r>
              <w:rPr>
                <w:color w:val="333333"/>
                <w:szCs w:val="21"/>
              </w:rPr>
              <w:t>;</w:t>
            </w:r>
            <w:r>
              <w:rPr>
                <w:rFonts w:hint="eastAsia"/>
                <w:color w:val="333333"/>
                <w:szCs w:val="21"/>
              </w:rPr>
              <w:t>雅思达到学校的要求</w:t>
            </w:r>
            <w:r>
              <w:rPr>
                <w:color w:val="333333"/>
                <w:szCs w:val="21"/>
              </w:rPr>
              <w:t>(</w:t>
            </w:r>
            <w:r>
              <w:rPr>
                <w:rFonts w:hint="eastAsia"/>
                <w:color w:val="333333"/>
                <w:szCs w:val="21"/>
              </w:rPr>
              <w:t>总分要求</w:t>
            </w:r>
            <w:r>
              <w:rPr>
                <w:color w:val="333333"/>
                <w:szCs w:val="21"/>
              </w:rPr>
              <w:t>6.5</w:t>
            </w:r>
            <w:r>
              <w:rPr>
                <w:rFonts w:hint="eastAsia"/>
                <w:color w:val="333333"/>
                <w:szCs w:val="21"/>
              </w:rPr>
              <w:t>分，单科不低于</w:t>
            </w:r>
            <w:r>
              <w:rPr>
                <w:color w:val="333333"/>
                <w:szCs w:val="21"/>
              </w:rPr>
              <w:t>6</w:t>
            </w:r>
            <w:r>
              <w:rPr>
                <w:rFonts w:hint="eastAsia"/>
                <w:color w:val="333333"/>
                <w:szCs w:val="21"/>
              </w:rPr>
              <w:t>分</w:t>
            </w:r>
            <w:r>
              <w:rPr>
                <w:color w:val="333333"/>
                <w:szCs w:val="21"/>
              </w:rPr>
              <w:t>)</w:t>
            </w:r>
            <w:r>
              <w:rPr>
                <w:rFonts w:hint="eastAsia"/>
                <w:color w:val="333333"/>
                <w:szCs w:val="21"/>
              </w:rPr>
              <w:t>。</w:t>
            </w:r>
          </w:p>
        </w:tc>
      </w:tr>
    </w:tbl>
    <w:p>
      <w:pPr>
        <w:ind w:right="-27" w:rightChars="-13"/>
        <w:jc w:val="left"/>
        <w:rPr>
          <w:rFonts w:ascii="宋体"/>
          <w:b/>
          <w:color w:val="FF0000"/>
          <w:sz w:val="28"/>
          <w:szCs w:val="28"/>
        </w:rPr>
      </w:pPr>
      <w:r>
        <w:rPr>
          <w:rFonts w:hint="eastAsia" w:ascii="宋体" w:hAnsi="宋体"/>
          <w:b/>
          <w:color w:val="FF0000"/>
          <w:sz w:val="28"/>
          <w:szCs w:val="28"/>
        </w:rPr>
        <w:t>项目优势</w:t>
      </w:r>
      <w:r>
        <w:rPr>
          <w:rFonts w:ascii="宋体" w:hAnsi="宋体"/>
          <w:b/>
          <w:color w:val="FF0000"/>
          <w:sz w:val="28"/>
          <w:szCs w:val="28"/>
        </w:rPr>
        <w:t>:</w:t>
      </w:r>
    </w:p>
    <w:p>
      <w:pPr>
        <w:rPr>
          <w:color w:val="333333"/>
          <w:szCs w:val="21"/>
        </w:rPr>
      </w:pPr>
      <w:r>
        <w:rPr>
          <w:color w:val="333333"/>
          <w:szCs w:val="21"/>
        </w:rPr>
        <w:t>1</w:t>
      </w:r>
      <w:r>
        <w:rPr>
          <w:rFonts w:hint="eastAsia"/>
          <w:color w:val="333333"/>
          <w:szCs w:val="21"/>
        </w:rPr>
        <w:t>、有机会获得学费减免（参加</w:t>
      </w:r>
      <w:r>
        <w:rPr>
          <w:color w:val="333333"/>
          <w:szCs w:val="21"/>
        </w:rPr>
        <w:t>2+2</w:t>
      </w:r>
      <w:r>
        <w:rPr>
          <w:rFonts w:hint="eastAsia"/>
          <w:color w:val="333333"/>
          <w:szCs w:val="21"/>
        </w:rPr>
        <w:t>的可获得奖学金</w:t>
      </w:r>
      <w:r>
        <w:rPr>
          <w:color w:val="333333"/>
          <w:szCs w:val="21"/>
        </w:rPr>
        <w:t>9000-12000</w:t>
      </w:r>
      <w:r>
        <w:rPr>
          <w:rFonts w:hint="eastAsia"/>
          <w:color w:val="333333"/>
          <w:szCs w:val="21"/>
        </w:rPr>
        <w:t>澳元；硕士可获得</w:t>
      </w:r>
      <w:r>
        <w:rPr>
          <w:color w:val="333333"/>
          <w:szCs w:val="21"/>
        </w:rPr>
        <w:t>6000-12000</w:t>
      </w:r>
      <w:r>
        <w:rPr>
          <w:rFonts w:hint="eastAsia"/>
          <w:color w:val="333333"/>
          <w:szCs w:val="21"/>
        </w:rPr>
        <w:t>澳元）；</w:t>
      </w:r>
    </w:p>
    <w:p>
      <w:pPr>
        <w:rPr>
          <w:color w:val="333333"/>
          <w:szCs w:val="21"/>
        </w:rPr>
      </w:pPr>
      <w:r>
        <w:rPr>
          <w:color w:val="333333"/>
          <w:szCs w:val="21"/>
        </w:rPr>
        <w:t>2</w:t>
      </w:r>
      <w:r>
        <w:rPr>
          <w:rFonts w:hint="eastAsia"/>
          <w:color w:val="333333"/>
          <w:szCs w:val="21"/>
        </w:rPr>
        <w:t>、学校直接指导申请；</w:t>
      </w:r>
    </w:p>
    <w:p>
      <w:pPr>
        <w:rPr>
          <w:color w:val="333333"/>
          <w:szCs w:val="21"/>
        </w:rPr>
      </w:pPr>
      <w:r>
        <w:rPr>
          <w:color w:val="333333"/>
          <w:szCs w:val="21"/>
        </w:rPr>
        <w:t>3</w:t>
      </w:r>
      <w:r>
        <w:rPr>
          <w:rFonts w:hint="eastAsia"/>
          <w:color w:val="333333"/>
          <w:szCs w:val="21"/>
        </w:rPr>
        <w:t>、参加</w:t>
      </w:r>
      <w:r>
        <w:rPr>
          <w:color w:val="333333"/>
          <w:szCs w:val="21"/>
        </w:rPr>
        <w:t>2+2</w:t>
      </w:r>
      <w:r>
        <w:rPr>
          <w:rFonts w:hint="eastAsia"/>
          <w:color w:val="333333"/>
          <w:szCs w:val="21"/>
        </w:rPr>
        <w:t>的同学，成绩优秀者还可直接申请攻读其博士学位，并会优先考虑录取；</w:t>
      </w:r>
    </w:p>
    <w:p>
      <w:pPr>
        <w:rPr>
          <w:color w:val="333333"/>
          <w:szCs w:val="21"/>
        </w:rPr>
      </w:pPr>
      <w:r>
        <w:rPr>
          <w:rFonts w:hint="eastAsia"/>
          <w:color w:val="333333"/>
          <w:szCs w:val="21"/>
        </w:rPr>
        <w:t>4、获得一等荣誉学位的学生，将获得攻读博士期间的学费奖学金（约3.6万澳元每年），并有机会申请获得生活费奖学金（约2.4万澳元每年）。</w:t>
      </w:r>
    </w:p>
    <w:p>
      <w:pPr>
        <w:tabs>
          <w:tab w:val="left" w:pos="9720"/>
        </w:tabs>
        <w:ind w:right="2" w:rightChars="1"/>
        <w:rPr>
          <w:rFonts w:ascii="宋体" w:hAnsi="宋体"/>
          <w:b/>
          <w:color w:val="FF0000"/>
          <w:sz w:val="28"/>
          <w:szCs w:val="28"/>
        </w:rPr>
      </w:pPr>
      <w:r>
        <w:rPr>
          <w:rFonts w:hint="eastAsia" w:ascii="宋体" w:hAnsi="宋体"/>
          <w:b/>
          <w:color w:val="FF0000"/>
          <w:sz w:val="28"/>
          <w:szCs w:val="28"/>
        </w:rPr>
        <w:t>报名截止日期：</w:t>
      </w:r>
    </w:p>
    <w:p>
      <w:pPr>
        <w:pStyle w:val="18"/>
        <w:spacing w:after="21"/>
        <w:rPr>
          <w:color w:val="auto"/>
          <w:szCs w:val="21"/>
        </w:rPr>
      </w:pPr>
      <w:r>
        <w:rPr>
          <w:rStyle w:val="17"/>
          <w:rFonts w:cs="Times New Roman"/>
          <w:color w:val="auto"/>
          <w:sz w:val="21"/>
          <w:szCs w:val="21"/>
        </w:rPr>
        <w:t>201</w:t>
      </w:r>
      <w:r>
        <w:rPr>
          <w:rStyle w:val="17"/>
          <w:rFonts w:hint="eastAsia" w:cs="Times New Roman"/>
          <w:color w:val="auto"/>
          <w:sz w:val="21"/>
          <w:szCs w:val="21"/>
        </w:rPr>
        <w:t>6</w:t>
      </w:r>
      <w:r>
        <w:rPr>
          <w:rStyle w:val="17"/>
          <w:rFonts w:cs="Times New Roman"/>
          <w:color w:val="auto"/>
          <w:sz w:val="21"/>
          <w:szCs w:val="21"/>
        </w:rPr>
        <w:t>年</w:t>
      </w:r>
      <w:r>
        <w:rPr>
          <w:rStyle w:val="17"/>
          <w:rFonts w:hint="eastAsia" w:cs="Times New Roman"/>
          <w:color w:val="auto"/>
          <w:sz w:val="21"/>
          <w:szCs w:val="21"/>
        </w:rPr>
        <w:t>2</w:t>
      </w:r>
      <w:r>
        <w:rPr>
          <w:rStyle w:val="17"/>
          <w:rFonts w:cs="Times New Roman"/>
          <w:color w:val="auto"/>
          <w:sz w:val="21"/>
          <w:szCs w:val="21"/>
        </w:rPr>
        <w:t>月</w:t>
      </w:r>
      <w:r>
        <w:rPr>
          <w:rStyle w:val="17"/>
          <w:rFonts w:hint="eastAsia" w:cs="Times New Roman"/>
          <w:color w:val="auto"/>
          <w:sz w:val="21"/>
          <w:szCs w:val="21"/>
        </w:rPr>
        <w:t>20</w:t>
      </w:r>
      <w:r>
        <w:rPr>
          <w:rStyle w:val="17"/>
          <w:rFonts w:cs="Times New Roman"/>
          <w:color w:val="auto"/>
          <w:sz w:val="21"/>
          <w:szCs w:val="21"/>
        </w:rPr>
        <w:t>日</w:t>
      </w:r>
    </w:p>
    <w:p>
      <w:pPr>
        <w:tabs>
          <w:tab w:val="left" w:pos="9720"/>
        </w:tabs>
        <w:ind w:right="2" w:rightChars="1"/>
        <w:rPr>
          <w:rFonts w:hAnsi="宋体"/>
          <w:b/>
          <w:color w:val="FF0000"/>
          <w:sz w:val="28"/>
          <w:szCs w:val="28"/>
        </w:rPr>
      </w:pPr>
      <w:r>
        <w:rPr>
          <w:rFonts w:hint="eastAsia" w:ascii="宋体" w:hAnsi="宋体"/>
          <w:b/>
          <w:color w:val="FF0000"/>
          <w:sz w:val="28"/>
          <w:szCs w:val="28"/>
        </w:rPr>
        <w:t>报名方式：</w:t>
      </w:r>
    </w:p>
    <w:p>
      <w:pPr>
        <w:pStyle w:val="18"/>
        <w:rPr>
          <w:rStyle w:val="17"/>
          <w:color w:val="auto"/>
        </w:rPr>
      </w:pPr>
      <w:r>
        <w:rPr>
          <w:rStyle w:val="17"/>
          <w:color w:val="auto"/>
          <w:sz w:val="21"/>
          <w:szCs w:val="21"/>
        </w:rPr>
        <w:t>请将报名表（见附件）</w:t>
      </w:r>
      <w:r>
        <w:fldChar w:fldCharType="begin"/>
      </w:r>
      <w:r>
        <w:instrText xml:space="preserve"> HYPERLINK "mailto:填写好后发送到国际处ied-csu@csu.edu.cn" </w:instrText>
      </w:r>
      <w:r>
        <w:fldChar w:fldCharType="separate"/>
      </w:r>
      <w:r>
        <w:rPr>
          <w:rStyle w:val="9"/>
          <w:rFonts w:hint="eastAsia"/>
          <w:color w:val="auto"/>
          <w:sz w:val="21"/>
          <w:szCs w:val="21"/>
        </w:rPr>
        <w:t>填写好后发送到国际处ied-csu@csu.edu.cn</w:t>
      </w:r>
      <w:r>
        <w:rPr>
          <w:rStyle w:val="9"/>
          <w:rFonts w:hint="eastAsia"/>
          <w:color w:val="auto"/>
          <w:sz w:val="21"/>
          <w:szCs w:val="21"/>
        </w:rPr>
        <w:fldChar w:fldCharType="end"/>
      </w:r>
      <w:r>
        <w:rPr>
          <w:rStyle w:val="17"/>
          <w:color w:val="auto"/>
          <w:sz w:val="21"/>
          <w:szCs w:val="21"/>
        </w:rPr>
        <w:t>邮箱，邮件主题请注明“本人姓名+</w:t>
      </w:r>
      <w:r>
        <w:rPr>
          <w:rStyle w:val="17"/>
          <w:rFonts w:hint="eastAsia"/>
          <w:color w:val="auto"/>
          <w:sz w:val="21"/>
          <w:szCs w:val="21"/>
        </w:rPr>
        <w:t>蒙纳士</w:t>
      </w:r>
      <w:r>
        <w:rPr>
          <w:rStyle w:val="17"/>
          <w:color w:val="auto"/>
          <w:sz w:val="21"/>
          <w:szCs w:val="21"/>
        </w:rPr>
        <w:t>报名“</w:t>
      </w:r>
      <w:r>
        <w:rPr>
          <w:rStyle w:val="17"/>
          <w:color w:val="auto"/>
        </w:rPr>
        <w:t>。</w:t>
      </w:r>
    </w:p>
    <w:p>
      <w:pPr>
        <w:tabs>
          <w:tab w:val="left" w:pos="9720"/>
        </w:tabs>
        <w:ind w:right="2" w:rightChars="1"/>
        <w:rPr>
          <w:rFonts w:hAnsi="宋体"/>
          <w:b/>
          <w:color w:val="FF0000"/>
          <w:sz w:val="28"/>
          <w:szCs w:val="28"/>
        </w:rPr>
      </w:pPr>
      <w:r>
        <w:rPr>
          <w:rFonts w:hint="eastAsia" w:ascii="宋体" w:hAnsi="宋体"/>
          <w:b/>
          <w:color w:val="FF0000"/>
          <w:sz w:val="28"/>
          <w:szCs w:val="28"/>
        </w:rPr>
        <w:t>其他：</w:t>
      </w:r>
    </w:p>
    <w:p>
      <w:pPr>
        <w:pStyle w:val="18"/>
        <w:rPr>
          <w:rStyle w:val="17"/>
          <w:color w:val="auto"/>
          <w:sz w:val="21"/>
          <w:szCs w:val="21"/>
        </w:rPr>
      </w:pPr>
      <w:r>
        <w:rPr>
          <w:rStyle w:val="17"/>
          <w:color w:val="auto"/>
          <w:sz w:val="21"/>
          <w:szCs w:val="21"/>
        </w:rPr>
        <w:t>1、请加入“中南16年出国群”277494579了解更多信息。</w:t>
      </w:r>
    </w:p>
    <w:p>
      <w:pPr>
        <w:pStyle w:val="18"/>
        <w:rPr>
          <w:rStyle w:val="17"/>
          <w:color w:val="auto"/>
          <w:sz w:val="21"/>
          <w:szCs w:val="21"/>
        </w:rPr>
      </w:pPr>
      <w:r>
        <w:rPr>
          <w:rStyle w:val="17"/>
          <w:color w:val="auto"/>
          <w:sz w:val="21"/>
          <w:szCs w:val="21"/>
        </w:rPr>
        <w:t>2、可以通过写邮件的方式进行咨询，邮件主题请注明“***项目咨询，并请署名。邮箱为</w:t>
      </w:r>
      <w:r>
        <w:fldChar w:fldCharType="begin"/>
      </w:r>
      <w:r>
        <w:instrText xml:space="preserve"> HYPERLINK "mailto:ied-csu@csu.edu.cn" </w:instrText>
      </w:r>
      <w:r>
        <w:fldChar w:fldCharType="separate"/>
      </w:r>
      <w:r>
        <w:rPr>
          <w:rStyle w:val="9"/>
          <w:rFonts w:hint="eastAsia"/>
          <w:color w:val="auto"/>
          <w:sz w:val="21"/>
          <w:szCs w:val="21"/>
        </w:rPr>
        <w:t>ied-csu@csu.edu.cn</w:t>
      </w:r>
      <w:r>
        <w:rPr>
          <w:rStyle w:val="9"/>
          <w:rFonts w:hint="eastAsia"/>
          <w:color w:val="auto"/>
          <w:sz w:val="21"/>
          <w:szCs w:val="21"/>
        </w:rPr>
        <w:fldChar w:fldCharType="end"/>
      </w:r>
      <w:r>
        <w:rPr>
          <w:rStyle w:val="17"/>
          <w:color w:val="auto"/>
          <w:sz w:val="21"/>
          <w:szCs w:val="21"/>
        </w:rPr>
        <w:t>。</w:t>
      </w:r>
    </w:p>
    <w:p>
      <w:pPr>
        <w:pStyle w:val="18"/>
        <w:rPr>
          <w:rStyle w:val="17"/>
          <w:color w:val="auto"/>
          <w:sz w:val="21"/>
          <w:szCs w:val="21"/>
        </w:rPr>
      </w:pPr>
      <w:r>
        <w:rPr>
          <w:rStyle w:val="17"/>
          <w:color w:val="auto"/>
          <w:sz w:val="21"/>
          <w:szCs w:val="21"/>
        </w:rPr>
        <w:t xml:space="preserve">3、报名截止并整理完申请表后，春季开学后会联系递交申请的同学，并做具体的申请指导。 </w:t>
      </w:r>
    </w:p>
    <w:p>
      <w:pPr>
        <w:pStyle w:val="18"/>
        <w:rPr>
          <w:rStyle w:val="17"/>
          <w:color w:val="auto"/>
          <w:sz w:val="21"/>
          <w:szCs w:val="21"/>
        </w:rPr>
      </w:pPr>
      <w:r>
        <w:rPr>
          <w:rStyle w:val="17"/>
          <w:color w:val="auto"/>
          <w:sz w:val="21"/>
          <w:szCs w:val="21"/>
        </w:rPr>
        <w:t>4、请有意向申请的同学务必于寒假期间办理好护照。</w:t>
      </w:r>
    </w:p>
    <w:p>
      <w:pPr>
        <w:tabs>
          <w:tab w:val="left" w:pos="9720"/>
        </w:tabs>
        <w:ind w:right="2" w:rightChars="1"/>
        <w:rPr>
          <w:rFonts w:hAnsi="宋体"/>
          <w:b/>
          <w:color w:val="FF0000"/>
          <w:sz w:val="28"/>
          <w:szCs w:val="28"/>
        </w:rPr>
      </w:pPr>
      <w:r>
        <w:rPr>
          <w:rFonts w:hint="eastAsia" w:ascii="宋体" w:hAnsi="宋体"/>
          <w:b/>
          <w:color w:val="FF0000"/>
          <w:sz w:val="28"/>
          <w:szCs w:val="28"/>
        </w:rPr>
        <w:t>咨询：</w:t>
      </w:r>
    </w:p>
    <w:p>
      <w:pPr>
        <w:pStyle w:val="18"/>
        <w:rPr>
          <w:rStyle w:val="17"/>
          <w:color w:val="auto"/>
          <w:sz w:val="21"/>
          <w:szCs w:val="21"/>
        </w:rPr>
      </w:pPr>
      <w:r>
        <w:rPr>
          <w:rStyle w:val="17"/>
          <w:color w:val="auto"/>
          <w:sz w:val="21"/>
          <w:szCs w:val="21"/>
        </w:rPr>
        <w:t>咨询电话：88830540  张燕老师</w:t>
      </w:r>
    </w:p>
    <w:p>
      <w:pPr>
        <w:pStyle w:val="18"/>
        <w:rPr>
          <w:rStyle w:val="17"/>
          <w:color w:val="auto"/>
          <w:sz w:val="21"/>
          <w:szCs w:val="21"/>
        </w:rPr>
      </w:pPr>
      <w:r>
        <w:rPr>
          <w:rStyle w:val="17"/>
          <w:color w:val="auto"/>
          <w:sz w:val="21"/>
          <w:szCs w:val="21"/>
        </w:rPr>
        <w:t>地点：国际合作与交流处306办公室（本部计算机楼）</w:t>
      </w:r>
    </w:p>
    <w:p>
      <w:pPr>
        <w:tabs>
          <w:tab w:val="left" w:pos="9720"/>
        </w:tabs>
        <w:ind w:right="2" w:rightChars="1"/>
        <w:rPr>
          <w:rFonts w:hAnsi="宋体"/>
          <w:b/>
          <w:color w:val="FF0000"/>
          <w:sz w:val="28"/>
          <w:szCs w:val="28"/>
        </w:rPr>
      </w:pPr>
      <w:r>
        <w:rPr>
          <w:rFonts w:hint="eastAsia" w:ascii="宋体" w:hAnsi="宋体"/>
          <w:b/>
          <w:color w:val="FF0000"/>
          <w:sz w:val="28"/>
          <w:szCs w:val="28"/>
        </w:rPr>
        <w:t>网址：</w:t>
      </w:r>
    </w:p>
    <w:p>
      <w:pPr>
        <w:pStyle w:val="18"/>
        <w:rPr>
          <w:rStyle w:val="17"/>
          <w:color w:val="auto"/>
          <w:sz w:val="21"/>
          <w:szCs w:val="21"/>
        </w:rPr>
      </w:pPr>
      <w:r>
        <w:rPr>
          <w:rStyle w:val="17"/>
          <w:color w:val="auto"/>
          <w:sz w:val="21"/>
          <w:szCs w:val="21"/>
        </w:rPr>
        <w:t>更多信息请登陆</w:t>
      </w:r>
      <w:r>
        <w:rPr>
          <w:color w:val="auto"/>
          <w:sz w:val="21"/>
          <w:szCs w:val="21"/>
        </w:rPr>
        <w:fldChar w:fldCharType="begin"/>
      </w:r>
      <w:r>
        <w:rPr>
          <w:color w:val="auto"/>
          <w:sz w:val="21"/>
          <w:szCs w:val="21"/>
        </w:rPr>
        <w:instrText xml:space="preserve"> HYPERLINK "http://www.monash.edu.au/" </w:instrText>
      </w:r>
      <w:r>
        <w:rPr>
          <w:color w:val="auto"/>
          <w:sz w:val="21"/>
          <w:szCs w:val="21"/>
        </w:rPr>
        <w:fldChar w:fldCharType="separate"/>
      </w:r>
      <w:r>
        <w:rPr>
          <w:rStyle w:val="9"/>
          <w:sz w:val="21"/>
          <w:szCs w:val="21"/>
        </w:rPr>
        <w:t>www.monash.edu.au</w:t>
      </w:r>
      <w:r>
        <w:rPr>
          <w:color w:val="auto"/>
          <w:sz w:val="21"/>
          <w:szCs w:val="21"/>
        </w:rPr>
        <w:fldChar w:fldCharType="end"/>
      </w:r>
      <w:r>
        <w:rPr>
          <w:rStyle w:val="17"/>
          <w:color w:val="auto"/>
          <w:sz w:val="21"/>
          <w:szCs w:val="21"/>
        </w:rPr>
        <w:t>查询。</w:t>
      </w:r>
    </w:p>
    <w:p>
      <w:pPr>
        <w:pStyle w:val="18"/>
        <w:rPr>
          <w:rFonts w:hAnsi="宋体"/>
          <w:b/>
          <w:color w:val="FF0000"/>
          <w:sz w:val="28"/>
          <w:szCs w:val="28"/>
        </w:rPr>
      </w:pPr>
      <w:r>
        <w:rPr>
          <w:rStyle w:val="17"/>
          <w:color w:val="auto"/>
          <w:sz w:val="21"/>
          <w:szCs w:val="21"/>
        </w:rPr>
        <w:t xml:space="preserve">                                          </w:t>
      </w:r>
      <w:r>
        <w:rPr>
          <w:rFonts w:hint="eastAsia" w:hAnsi="宋体"/>
          <w:b/>
          <w:color w:val="FF0000"/>
          <w:sz w:val="28"/>
          <w:szCs w:val="28"/>
        </w:rPr>
        <w:t xml:space="preserve">                </w:t>
      </w:r>
    </w:p>
    <w:p>
      <w:pPr>
        <w:pStyle w:val="18"/>
        <w:rPr>
          <w:rStyle w:val="17"/>
          <w:color w:val="auto"/>
          <w:sz w:val="24"/>
          <w:szCs w:val="24"/>
        </w:rPr>
      </w:pPr>
      <w:r>
        <w:rPr>
          <w:rFonts w:hint="eastAsia" w:hAnsi="宋体"/>
          <w:szCs w:val="21"/>
        </w:rPr>
        <w:t xml:space="preserve">                                                </w:t>
      </w:r>
      <w:r>
        <w:rPr>
          <w:rStyle w:val="17"/>
          <w:b/>
          <w:color w:val="auto"/>
          <w:sz w:val="24"/>
          <w:szCs w:val="24"/>
        </w:rPr>
        <w:t>国际合作与交流处</w:t>
      </w:r>
    </w:p>
    <w:p>
      <w:pPr>
        <w:pStyle w:val="18"/>
        <w:rPr>
          <w:rStyle w:val="17"/>
          <w:b/>
          <w:color w:val="auto"/>
          <w:sz w:val="24"/>
          <w:szCs w:val="24"/>
        </w:rPr>
      </w:pPr>
      <w:r>
        <w:rPr>
          <w:rStyle w:val="17"/>
          <w:b/>
          <w:color w:val="auto"/>
          <w:sz w:val="24"/>
          <w:szCs w:val="24"/>
        </w:rPr>
        <w:t xml:space="preserve">                                               </w:t>
      </w:r>
      <w:r>
        <w:rPr>
          <w:rStyle w:val="17"/>
          <w:rFonts w:hint="eastAsia"/>
          <w:b/>
          <w:color w:val="auto"/>
          <w:sz w:val="24"/>
          <w:szCs w:val="24"/>
        </w:rPr>
        <w:t xml:space="preserve">  </w:t>
      </w:r>
      <w:r>
        <w:rPr>
          <w:rStyle w:val="17"/>
          <w:b/>
          <w:color w:val="auto"/>
          <w:sz w:val="24"/>
          <w:szCs w:val="24"/>
        </w:rPr>
        <w:t>2016年11月16日</w:t>
      </w:r>
    </w:p>
    <w:p>
      <w:pPr>
        <w:ind w:right="-27" w:rightChars="-13"/>
        <w:jc w:val="left"/>
        <w:rPr>
          <w:rFonts w:ascii="宋体" w:hAnsi="宋体"/>
          <w:b/>
          <w:color w:val="FF0000"/>
          <w:szCs w:val="21"/>
        </w:rPr>
      </w:pPr>
    </w:p>
    <w:p>
      <w:pPr>
        <w:ind w:right="-27" w:rightChars="-13"/>
        <w:jc w:val="left"/>
        <w:rPr>
          <w:rFonts w:ascii="宋体" w:hAnsi="宋体"/>
          <w:b/>
          <w:color w:val="FF0000"/>
          <w:szCs w:val="21"/>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ADA"/>
    <w:rsid w:val="000361A6"/>
    <w:rsid w:val="000655F2"/>
    <w:rsid w:val="00081D49"/>
    <w:rsid w:val="000A088A"/>
    <w:rsid w:val="000C345F"/>
    <w:rsid w:val="00102915"/>
    <w:rsid w:val="00141086"/>
    <w:rsid w:val="0022298D"/>
    <w:rsid w:val="00291369"/>
    <w:rsid w:val="00297C9C"/>
    <w:rsid w:val="002B4AEE"/>
    <w:rsid w:val="00330DD5"/>
    <w:rsid w:val="003351B4"/>
    <w:rsid w:val="00341FBD"/>
    <w:rsid w:val="003A407A"/>
    <w:rsid w:val="003E0D6D"/>
    <w:rsid w:val="003F2A08"/>
    <w:rsid w:val="00444FCF"/>
    <w:rsid w:val="004675D2"/>
    <w:rsid w:val="004973C1"/>
    <w:rsid w:val="004B1C43"/>
    <w:rsid w:val="004E2A05"/>
    <w:rsid w:val="004E77EF"/>
    <w:rsid w:val="00512D1B"/>
    <w:rsid w:val="005347CD"/>
    <w:rsid w:val="00585CE8"/>
    <w:rsid w:val="00586DA3"/>
    <w:rsid w:val="00651600"/>
    <w:rsid w:val="00687E83"/>
    <w:rsid w:val="006A263F"/>
    <w:rsid w:val="006A296F"/>
    <w:rsid w:val="006E1650"/>
    <w:rsid w:val="006E217C"/>
    <w:rsid w:val="006E737C"/>
    <w:rsid w:val="007409E5"/>
    <w:rsid w:val="0079474E"/>
    <w:rsid w:val="007A2077"/>
    <w:rsid w:val="007B3477"/>
    <w:rsid w:val="007B5ADA"/>
    <w:rsid w:val="007F196F"/>
    <w:rsid w:val="00806226"/>
    <w:rsid w:val="008C5363"/>
    <w:rsid w:val="009317EB"/>
    <w:rsid w:val="009814F3"/>
    <w:rsid w:val="009C2354"/>
    <w:rsid w:val="009E4E17"/>
    <w:rsid w:val="00A07BDF"/>
    <w:rsid w:val="00A2698B"/>
    <w:rsid w:val="00AF5C32"/>
    <w:rsid w:val="00AF69A8"/>
    <w:rsid w:val="00B314FA"/>
    <w:rsid w:val="00BF15D8"/>
    <w:rsid w:val="00D0002D"/>
    <w:rsid w:val="00D15415"/>
    <w:rsid w:val="00D332F9"/>
    <w:rsid w:val="00D671F3"/>
    <w:rsid w:val="00D96735"/>
    <w:rsid w:val="00DC26DB"/>
    <w:rsid w:val="00DF571A"/>
    <w:rsid w:val="00E90EE3"/>
    <w:rsid w:val="00F201AC"/>
    <w:rsid w:val="00F302C6"/>
    <w:rsid w:val="00F60FD0"/>
    <w:rsid w:val="00F83A38"/>
    <w:rsid w:val="00F83A4B"/>
    <w:rsid w:val="00FE0BC1"/>
    <w:rsid w:val="0C9772B7"/>
    <w:rsid w:val="1F0F3F84"/>
    <w:rsid w:val="520A1193"/>
    <w:rsid w:val="53BE7672"/>
    <w:rsid w:val="568A0A89"/>
    <w:rsid w:val="61533EBB"/>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99"/>
    <w:pPr>
      <w:widowControl/>
      <w:jc w:val="left"/>
      <w:outlineLvl w:val="1"/>
    </w:pPr>
    <w:rPr>
      <w:rFonts w:ascii="宋体" w:hAnsi="宋体" w:cs="宋体"/>
      <w:color w:val="111111"/>
      <w:kern w:val="0"/>
      <w:sz w:val="63"/>
      <w:szCs w:val="63"/>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Date"/>
    <w:basedOn w:val="1"/>
    <w:next w:val="1"/>
    <w:link w:val="19"/>
    <w:unhideWhenUsed/>
    <w:uiPriority w:val="0"/>
    <w:pPr>
      <w:ind w:left="100" w:leftChars="2500"/>
    </w:pPr>
  </w:style>
  <w:style w:type="paragraph" w:styleId="4">
    <w:name w:val="Balloon Text"/>
    <w:basedOn w:val="1"/>
    <w:link w:val="16"/>
    <w:semiHidden/>
    <w:uiPriority w:val="99"/>
    <w:rPr>
      <w:sz w:val="18"/>
      <w:szCs w:val="18"/>
    </w:rPr>
  </w:style>
  <w:style w:type="paragraph" w:styleId="5">
    <w:name w:val="footer"/>
    <w:basedOn w:val="1"/>
    <w:link w:val="15"/>
    <w:semiHidden/>
    <w:uiPriority w:val="99"/>
    <w:pPr>
      <w:tabs>
        <w:tab w:val="center" w:pos="4153"/>
        <w:tab w:val="right" w:pos="8306"/>
      </w:tabs>
      <w:snapToGrid w:val="0"/>
      <w:jc w:val="left"/>
    </w:pPr>
    <w:rPr>
      <w:sz w:val="18"/>
      <w:szCs w:val="18"/>
    </w:rPr>
  </w:style>
  <w:style w:type="paragraph" w:styleId="6">
    <w:name w:val="header"/>
    <w:basedOn w:val="1"/>
    <w:link w:val="14"/>
    <w:semiHidden/>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color w:val="343536"/>
      <w:kern w:val="0"/>
      <w:sz w:val="30"/>
      <w:szCs w:val="30"/>
    </w:rPr>
  </w:style>
  <w:style w:type="character" w:styleId="9">
    <w:name w:val="Hyperlink"/>
    <w:semiHidden/>
    <w:uiPriority w:val="99"/>
    <w:rPr>
      <w:rFonts w:cs="Times New Roman"/>
      <w:color w:val="525355"/>
      <w:sz w:val="24"/>
      <w:szCs w:val="24"/>
      <w:u w:val="none"/>
      <w:shd w:val="clear" w:color="auto" w:fill="auto"/>
    </w:rPr>
  </w:style>
  <w:style w:type="table" w:styleId="11">
    <w:name w:val="Table Grid"/>
    <w:basedOn w:val="10"/>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style>
  <w:style w:type="character" w:customStyle="1" w:styleId="13">
    <w:name w:val="标题 2 Char"/>
    <w:link w:val="2"/>
    <w:locked/>
    <w:uiPriority w:val="99"/>
    <w:rPr>
      <w:rFonts w:ascii="宋体" w:hAnsi="宋体" w:eastAsia="宋体" w:cs="宋体"/>
      <w:color w:val="111111"/>
      <w:kern w:val="0"/>
      <w:sz w:val="63"/>
      <w:szCs w:val="63"/>
    </w:rPr>
  </w:style>
  <w:style w:type="character" w:customStyle="1" w:styleId="14">
    <w:name w:val="页眉 Char"/>
    <w:link w:val="6"/>
    <w:semiHidden/>
    <w:locked/>
    <w:uiPriority w:val="99"/>
    <w:rPr>
      <w:rFonts w:cs="Times New Roman"/>
      <w:sz w:val="18"/>
      <w:szCs w:val="18"/>
    </w:rPr>
  </w:style>
  <w:style w:type="character" w:customStyle="1" w:styleId="15">
    <w:name w:val="页脚 Char"/>
    <w:link w:val="5"/>
    <w:semiHidden/>
    <w:qFormat/>
    <w:locked/>
    <w:uiPriority w:val="99"/>
    <w:rPr>
      <w:rFonts w:cs="Times New Roman"/>
      <w:sz w:val="18"/>
      <w:szCs w:val="18"/>
    </w:rPr>
  </w:style>
  <w:style w:type="character" w:customStyle="1" w:styleId="16">
    <w:name w:val="批注框文本 Char"/>
    <w:link w:val="4"/>
    <w:semiHidden/>
    <w:locked/>
    <w:uiPriority w:val="99"/>
    <w:rPr>
      <w:rFonts w:cs="Times New Roman"/>
      <w:sz w:val="18"/>
      <w:szCs w:val="18"/>
    </w:rPr>
  </w:style>
  <w:style w:type="character" w:customStyle="1" w:styleId="17">
    <w:name w:val="A1"/>
    <w:uiPriority w:val="99"/>
    <w:rPr>
      <w:rFonts w:cs="宋体"/>
      <w:color w:val="000000"/>
      <w:sz w:val="20"/>
      <w:szCs w:val="20"/>
    </w:rPr>
  </w:style>
  <w:style w:type="paragraph" w:customStyle="1" w:styleId="1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日期 Char"/>
    <w:link w:val="3"/>
    <w:semiHidden/>
    <w:uiPriority w:val="0"/>
    <w:rPr>
      <w:rFonts w:cs="Times New Roman"/>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266</Words>
  <Characters>1521</Characters>
  <Lines>12</Lines>
  <Paragraphs>3</Paragraphs>
  <TotalTime>0</TotalTime>
  <ScaleCrop>false</ScaleCrop>
  <LinksUpToDate>false</LinksUpToDate>
  <CharactersWithSpaces>1784</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2014-12-05T07:47:00Z</dcterms:created>
  <dc:creator>zhang</dc:creator>
  <cp:lastModifiedBy>Administrator</cp:lastModifiedBy>
  <cp:lastPrinted>2014-12-05T07:30:00Z</cp:lastPrinted>
  <dcterms:modified xsi:type="dcterms:W3CDTF">2015-12-03T06:06:28Z</dcterms:modified>
  <dc:title> 关于报名参加澳大利亚蒙纳士大学项目的通知</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